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r>
        <w:rPr>
          <w:rFonts w:ascii="Times New Roman" w:hAnsi="Times New Roman" w:cs="Times New Roman"/>
          <w:sz w:val="24"/>
          <w:szCs w:val="24"/>
        </w:rPr>
        <w:t>Criminal Courts</w:t>
      </w:r>
    </w:p>
    <w:p w:rsidR="007E50B2" w:rsidRDefault="007E50B2" w:rsidP="007E50B2">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7E50B2" w:rsidRDefault="007E50B2" w:rsidP="007E50B2">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7E50B2" w:rsidRDefault="007E50B2" w:rsidP="007E50B2">
      <w:pPr>
        <w:ind w:firstLine="0"/>
        <w:jc w:val="center"/>
        <w:rPr>
          <w:rFonts w:ascii="Times New Roman" w:hAnsi="Times New Roman" w:cs="Times New Roman"/>
          <w:sz w:val="24"/>
          <w:szCs w:val="24"/>
        </w:rPr>
      </w:pPr>
    </w:p>
    <w:p w:rsidR="00332AD9" w:rsidRPr="00332AD9" w:rsidRDefault="00332AD9" w:rsidP="00332AD9">
      <w:pPr>
        <w:jc w:val="center"/>
        <w:rPr>
          <w:rFonts w:ascii="Times New Roman" w:hAnsi="Times New Roman" w:cs="Times New Roman"/>
          <w:sz w:val="24"/>
          <w:szCs w:val="24"/>
        </w:rPr>
      </w:pPr>
      <w:r w:rsidRPr="00332AD9">
        <w:rPr>
          <w:rFonts w:ascii="Times New Roman" w:hAnsi="Times New Roman" w:cs="Times New Roman"/>
          <w:sz w:val="24"/>
          <w:szCs w:val="24"/>
        </w:rPr>
        <w:lastRenderedPageBreak/>
        <w:t>Client’s Trial Preparation</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In any client trial preparation, attorneys may overlook the client’s perspective whether they are minors or adults. After all, the attorney has a court hearing to prepare for, documents and law statements to put together, evidence to prepare, witnesses to be herd, and apposition counsel to tackle. Among all the witnesses to be heard in the court, the client may testify in some parts, but they are the whole reason the attorney is there in the first place; hence as an attorney, I would have to prepare my client to guard against the unavoidable rollercoaster of trial emotions and at the same time mitigate the risks of a malpractice claim.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In preparing my client Mitchel for the hearing, I would consider engaging his guardians in the discussion as he is a minor. First, I would discuss the possible outcomes, costs and risks of the case with him. Addressing the risk of the trial with my client may somewhat be challenging as he is a minor, and hence he may be scared into an early settlement. I would start discussing the possible outcomes with him starting with the best ones and the worst last. I would ask to provide an assessment of risks that are attributed to each result. Also, I would engage the client’s guardians in discussing the relevant risks that come in if the client chooses to go for trial or if they choose to take a settlement. The client and his guardian will have to settle on one knowing all the risks and hence prevent malpractice claims.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After getting done with the risks that are attributed to each outcome, I would get down to discussing cost details. I would estimate how much the full trial will cost and what it counts to be a winning verdict. As the accident caused damages, I would calculate how much it will cost the client and his guardians. In this case, the verdict also appears </w:t>
      </w:r>
      <w:r w:rsidRPr="00332AD9">
        <w:rPr>
          <w:rFonts w:ascii="Times New Roman" w:hAnsi="Times New Roman" w:cs="Times New Roman"/>
          <w:sz w:val="24"/>
          <w:szCs w:val="24"/>
        </w:rPr>
        <w:t>unfavorable</w:t>
      </w:r>
      <w:r w:rsidRPr="00332AD9">
        <w:rPr>
          <w:rFonts w:ascii="Times New Roman" w:hAnsi="Times New Roman" w:cs="Times New Roman"/>
          <w:sz w:val="24"/>
          <w:szCs w:val="24"/>
        </w:rPr>
        <w:t xml:space="preserve"> and hence I would put into considerations whether the client can pay the costs award. I would also ensure that the client and his guardians are willing to accept the charges and embrace the risk at the same time.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lastRenderedPageBreak/>
        <w:t xml:space="preserve">I would also spend my time balancing settling benefits with trial costs. I would evaluate what has been offered by the opposing side and ask myself if their offer is to be considered in light of trial costs. I would document the discussion with my client and their instructions about settlement offers. I would also calculate the amount my client will be awarded for the damages, HST, fees, disbursements as well as what my client will take home. To achieve a fruitful discussion with my client about the risks, I would ensure that I have shaped my client’s expectations from the very beginning. I would also ensure that I control the expectations of my client from our first meeting. In this case, I would recommend that my client goes for settlement, but if he and his guardians choose to go for trial, I will ensure that I have documented the reasons behind my settlement recommendation. I would also outline the anticipated fees and inform the client about any changes.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Secondly, I would review the case evidence. I will assume the client doesn’t know about his case, and hence I would teach him the case theory. I would look into the client’s prior evidence, including his statements and affidavits while at the same time, be preparing for possible contradictions. I would also review my client’s testimony after this discovery checking for errors and possible changes. I would also canvass other witness pieces of evidence that might turn out to be harmful to my client’s case. This will help to show Mitchel and his guardians the exhibits that will be applied in court and hence prevent them from being taken unawares. Reviewing the evidence with my client will serve to prepare my client for the trial and at the same time, help me investigate the finest details of my client’s case.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Again, as my client is a minor(17-year-old), I would take care of him and his guardians to avoid conflict of interest during the case. I will ensure that I have discussed everything with my client and his guardians as well. I will check to see if Mitchel guardians are acting in the best </w:t>
      </w:r>
      <w:r w:rsidRPr="00332AD9">
        <w:rPr>
          <w:rFonts w:ascii="Times New Roman" w:hAnsi="Times New Roman" w:cs="Times New Roman"/>
          <w:sz w:val="24"/>
          <w:szCs w:val="24"/>
        </w:rPr>
        <w:lastRenderedPageBreak/>
        <w:t xml:space="preserve">interest of him. Having taken care of legal issues, I would now check if my client’s emotions have been considered. I would describe the life of a trial to ensure that my client will not suffer stress. I would also help him understand the various emotions that he should expect during the trial. I would also discuss my availability during the trial with the client and his guardians. </w:t>
      </w:r>
    </w:p>
    <w:p w:rsidR="00332AD9" w:rsidRPr="00332AD9" w:rsidRDefault="00332AD9" w:rsidP="00332AD9">
      <w:pPr>
        <w:jc w:val="center"/>
        <w:rPr>
          <w:rFonts w:ascii="Times New Roman" w:hAnsi="Times New Roman" w:cs="Times New Roman"/>
          <w:sz w:val="24"/>
          <w:szCs w:val="24"/>
        </w:rPr>
      </w:pPr>
      <w:r w:rsidRPr="00332AD9">
        <w:rPr>
          <w:rFonts w:ascii="Times New Roman" w:hAnsi="Times New Roman" w:cs="Times New Roman"/>
          <w:sz w:val="24"/>
          <w:szCs w:val="24"/>
        </w:rPr>
        <w:t>Trial and Sentencing Expectations</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We would expect the court to charge Mitchel as a juvenile with reckless driving as the “delinquent act”. In the worst-case scenario, the court may decide that Mitchel’s crime was serious and choose to charge him with murder as an adult. The possible outcomes of the case are that my client will be e awarded costs for the damages caused and probably lose his driving license in the best-case scenario. In the worst-case scenario, he might spend time in jail in addition to paying for the damages and losing his driving license. </w:t>
      </w:r>
    </w:p>
    <w:p w:rsidR="00332AD9" w:rsidRPr="00332AD9" w:rsidRDefault="00332AD9" w:rsidP="00332AD9">
      <w:pPr>
        <w:jc w:val="center"/>
        <w:rPr>
          <w:rFonts w:ascii="Times New Roman" w:hAnsi="Times New Roman" w:cs="Times New Roman"/>
          <w:sz w:val="24"/>
          <w:szCs w:val="24"/>
        </w:rPr>
      </w:pPr>
      <w:r w:rsidRPr="00332AD9">
        <w:rPr>
          <w:rFonts w:ascii="Times New Roman" w:hAnsi="Times New Roman" w:cs="Times New Roman"/>
          <w:sz w:val="24"/>
          <w:szCs w:val="24"/>
        </w:rPr>
        <w:t>Differences in Trials of Adults and Minors</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In the US, laws on juvenile offenders are different in each state. Most states classify juveniles as offenders between ten and 18 years. In other states, a 16 or 17-year-old offender may be charged as an adult.  There exist some factors that determine whether an offender will be charged as an adult or as a juvenile. The court may choose to charge a juvenile as an adult, depending on the seriousness of the crime (Getis, 2000). Moreso, the records of the offender matter. If a minor is found out to have a lengthy history of offences, they may be treated as an adult among others.</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There exist differences between adult and juvenile court system, which also varies from state to state. There exist differences in both the procedures applied and the terminology used. Firstly, juveniles are charged for committing “delinquent acts” whereas adults are charged for </w:t>
      </w:r>
      <w:r w:rsidRPr="00332AD9">
        <w:rPr>
          <w:rFonts w:ascii="Times New Roman" w:hAnsi="Times New Roman" w:cs="Times New Roman"/>
          <w:sz w:val="24"/>
          <w:szCs w:val="24"/>
        </w:rPr>
        <w:lastRenderedPageBreak/>
        <w:t xml:space="preserve">committing crimes. Secondly, adult offenders undergo a public trial with a jury, whereas juveniles undergo an adjudication hearing to determine whether the juvenile is delinquent or not. If the judge decides that the minor is delinquent, the court decides on the next course of action. Thirdly, the adult court system in the US focuses on punishing criminal offenders, whereas the juvenile system aims at rehabilitating the offender (Getis, 2000). Hence there exist various alternative sentences that are aimed at keeping the juvenile out of jail. Among them are probation, parole and diversionary programs. Last but not least, adult crime system courts are formal as opposed to courts in the juvenile system. Rules about evidence admission in the juvenile system are much more lenient. </w:t>
      </w:r>
    </w:p>
    <w:p w:rsidR="00332AD9" w:rsidRPr="00332AD9" w:rsidRDefault="00332AD9" w:rsidP="00332AD9">
      <w:pPr>
        <w:jc w:val="center"/>
        <w:rPr>
          <w:rFonts w:ascii="Times New Roman" w:hAnsi="Times New Roman" w:cs="Times New Roman"/>
          <w:sz w:val="24"/>
          <w:szCs w:val="24"/>
        </w:rPr>
      </w:pPr>
      <w:r w:rsidRPr="00332AD9">
        <w:rPr>
          <w:rFonts w:ascii="Times New Roman" w:hAnsi="Times New Roman" w:cs="Times New Roman"/>
          <w:sz w:val="24"/>
          <w:szCs w:val="24"/>
        </w:rPr>
        <w:t>Changes in My Client’s Sentencing Phase</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As the crime committed by my client involved murder, the court decided to charge him as an adult in the adult criminal system. As a result, his prosecution will be different from what we expected in the first scenario of him being charged as a juvenile offender. Firstly, Mitchel will be charged with a complaint as opposed to being charged with a petition in the juvenile court system. Secondly, my client will be faced with a jury that will conduct his trial, and as his lawyer, I will have to spend time picking his jury. If he were charged as a juvenile offender, he would have only faced one offender. Moreso, if incase Mitchel is found guilty by the jury, he will be convicted as opposed to getting adjudicated in the juvenile court system. Additionally, Mitchel will be faced with sentencing to serve as his punishment rather than getting a disposition to determine his next course of action as a juvenile.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Again, Mitchel will be charged in his county where the offence took place, and that is where he will be tried. The court will also focus so much on punishing my client for his crime as opposed to acting within his best interests and trying to ensure that he gets rehabilitated. Moreso, </w:t>
      </w:r>
      <w:r w:rsidRPr="00332AD9">
        <w:rPr>
          <w:rFonts w:ascii="Times New Roman" w:hAnsi="Times New Roman" w:cs="Times New Roman"/>
          <w:sz w:val="24"/>
          <w:szCs w:val="24"/>
        </w:rPr>
        <w:lastRenderedPageBreak/>
        <w:t xml:space="preserve">we will expect that my client’s continuance stay in adjudication or dismissal will be determined by the prosecutor, and the jury will not do over the prosecutor’s objection. Mitchel’s hearing will also be open to the members of the public this time around as opposed to being closed to the public in the juvenile system. Moreso, the case may fail to involve Mitchel’s guardians as in the case of the juvenile system. Also, my client may be faced with multiple restrictions preventing him from filing for an expungement. </w:t>
      </w:r>
    </w:p>
    <w:p w:rsidR="00332AD9" w:rsidRPr="00332AD9" w:rsidRDefault="00332AD9" w:rsidP="00332AD9">
      <w:pPr>
        <w:jc w:val="center"/>
        <w:rPr>
          <w:rFonts w:ascii="Times New Roman" w:hAnsi="Times New Roman" w:cs="Times New Roman"/>
          <w:sz w:val="24"/>
          <w:szCs w:val="24"/>
        </w:rPr>
      </w:pPr>
      <w:r w:rsidRPr="00332AD9">
        <w:rPr>
          <w:rFonts w:ascii="Times New Roman" w:hAnsi="Times New Roman" w:cs="Times New Roman"/>
          <w:sz w:val="24"/>
          <w:szCs w:val="24"/>
        </w:rPr>
        <w:t>Thoughts on Charging Juvenile Offenders as Adults</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 xml:space="preserve">           Juvenile courts were created in the 19th century because as observed by society, the cognitive development of juveniles is different from that of adults. With that in mind, juvenile courts were created to rehabilitate youths and hence prevent recidivism. However, the political and sociological attitude shifts over time have made legislators believe that juveniles need a harsher treatment for crimes. As a result, the transfer of juveniles to adult courts became more frequent. Several studies have been made to determine the consequences of transferring juveniles to adult courts and to check whether this course of action deterred these juvenile offenders from future crimes. The results of these studies have concluded that moving juveniles to the adult court system have less or no effect at all on deterring the youth from future crimes (Chen et al., 2005). In fact, in most states, the rate of recidivism has increased over the years. </w:t>
      </w:r>
    </w:p>
    <w:p w:rsidR="00332AD9" w:rsidRPr="00332AD9" w:rsidRDefault="00332AD9" w:rsidP="00332AD9">
      <w:pPr>
        <w:rPr>
          <w:rFonts w:ascii="Times New Roman" w:hAnsi="Times New Roman" w:cs="Times New Roman"/>
          <w:sz w:val="24"/>
          <w:szCs w:val="24"/>
        </w:rPr>
      </w:pPr>
      <w:r w:rsidRPr="00332AD9">
        <w:rPr>
          <w:rFonts w:ascii="Times New Roman" w:hAnsi="Times New Roman" w:cs="Times New Roman"/>
          <w:sz w:val="24"/>
          <w:szCs w:val="24"/>
        </w:rPr>
        <w:t>According to statistics from 15 states, juveniles prosecuted in adult courts were rearrested in the future about 82% of the time compared to adults who got rearrested 16% lesser (Kuanliang, Sorensen&amp; Cunningham, 2008). Moreso, it has been found that juveniles in adult court system miss the opportunity of acquiring vital skills and experiences that are crucial for attaining success in their adult life. Instead, they get subjected to an environment full of adult criminals who serve as their teachers in crime.</w:t>
      </w:r>
    </w:p>
    <w:p w:rsidR="00426962" w:rsidRDefault="00332AD9" w:rsidP="00332AD9">
      <w:pPr>
        <w:rPr>
          <w:rFonts w:ascii="Times New Roman" w:hAnsi="Times New Roman" w:cs="Times New Roman"/>
          <w:sz w:val="24"/>
          <w:szCs w:val="24"/>
        </w:rPr>
      </w:pPr>
      <w:r w:rsidRPr="00332AD9">
        <w:rPr>
          <w:rFonts w:ascii="Times New Roman" w:hAnsi="Times New Roman" w:cs="Times New Roman"/>
          <w:sz w:val="24"/>
          <w:szCs w:val="24"/>
        </w:rPr>
        <w:lastRenderedPageBreak/>
        <w:t xml:space="preserve">Hence, in my opinion, juvenile offenders shouldn’t be subjected to the adult court system despite the extent of their crimes. Instead, the juvenile court system should engage reforms to ensure that more emphasis is placed on the best interests of the juvenile. Juveniles need skills and resources to prepare them for their future life, and this will be not </w:t>
      </w:r>
      <w:proofErr w:type="gramStart"/>
      <w:r w:rsidRPr="00332AD9">
        <w:rPr>
          <w:rFonts w:ascii="Times New Roman" w:hAnsi="Times New Roman" w:cs="Times New Roman"/>
          <w:sz w:val="24"/>
          <w:szCs w:val="24"/>
        </w:rPr>
        <w:t>be</w:t>
      </w:r>
      <w:proofErr w:type="gramEnd"/>
      <w:r w:rsidRPr="00332AD9">
        <w:rPr>
          <w:rFonts w:ascii="Times New Roman" w:hAnsi="Times New Roman" w:cs="Times New Roman"/>
          <w:sz w:val="24"/>
          <w:szCs w:val="24"/>
        </w:rPr>
        <w:t xml:space="preserve"> achieved from the adult court system as it has been found in various studies. Also transferring juveniles to adult courts has not been fruitful in deterring them from future crimes.</w:t>
      </w: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7B118D">
      <w:pPr>
        <w:rPr>
          <w:rFonts w:ascii="Times New Roman" w:hAnsi="Times New Roman" w:cs="Times New Roman"/>
          <w:sz w:val="24"/>
          <w:szCs w:val="24"/>
        </w:rPr>
      </w:pPr>
    </w:p>
    <w:p w:rsidR="00426962" w:rsidRDefault="00426962" w:rsidP="00625C8B">
      <w:pPr>
        <w:ind w:firstLine="0"/>
        <w:rPr>
          <w:rFonts w:ascii="Times New Roman" w:hAnsi="Times New Roman" w:cs="Times New Roman"/>
          <w:sz w:val="24"/>
          <w:szCs w:val="24"/>
        </w:rPr>
      </w:pPr>
    </w:p>
    <w:p w:rsidR="00332AD9" w:rsidRDefault="00332AD9" w:rsidP="00426962">
      <w:pPr>
        <w:jc w:val="center"/>
        <w:rPr>
          <w:rFonts w:ascii="Times New Roman" w:hAnsi="Times New Roman" w:cs="Times New Roman"/>
          <w:sz w:val="24"/>
          <w:szCs w:val="24"/>
        </w:rPr>
      </w:pPr>
    </w:p>
    <w:p w:rsidR="00332AD9" w:rsidRDefault="00332AD9" w:rsidP="00426962">
      <w:pPr>
        <w:jc w:val="center"/>
        <w:rPr>
          <w:rFonts w:ascii="Times New Roman" w:hAnsi="Times New Roman" w:cs="Times New Roman"/>
          <w:sz w:val="24"/>
          <w:szCs w:val="24"/>
        </w:rPr>
      </w:pPr>
    </w:p>
    <w:p w:rsidR="00426962" w:rsidRDefault="00426962" w:rsidP="00426962">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426962" w:rsidRPr="00426962" w:rsidRDefault="00426962" w:rsidP="00505E77">
      <w:pPr>
        <w:spacing w:after="0"/>
        <w:ind w:left="720" w:hanging="720"/>
        <w:rPr>
          <w:rFonts w:ascii="Times New Roman" w:hAnsi="Times New Roman" w:cs="Times New Roman"/>
          <w:color w:val="222222"/>
          <w:sz w:val="24"/>
          <w:szCs w:val="24"/>
          <w:shd w:val="clear" w:color="auto" w:fill="FFFFFF"/>
        </w:rPr>
      </w:pPr>
      <w:r w:rsidRPr="00426962">
        <w:rPr>
          <w:rFonts w:ascii="Times New Roman" w:hAnsi="Times New Roman" w:cs="Times New Roman"/>
          <w:color w:val="222222"/>
          <w:sz w:val="24"/>
          <w:szCs w:val="24"/>
          <w:shd w:val="clear" w:color="auto" w:fill="FFFFFF"/>
        </w:rPr>
        <w:t>Getis, V. (2000). </w:t>
      </w:r>
      <w:r w:rsidRPr="00426962">
        <w:rPr>
          <w:rFonts w:ascii="Times New Roman" w:hAnsi="Times New Roman" w:cs="Times New Roman"/>
          <w:i/>
          <w:iCs/>
          <w:color w:val="222222"/>
          <w:sz w:val="24"/>
          <w:szCs w:val="24"/>
          <w:shd w:val="clear" w:color="auto" w:fill="FFFFFF"/>
        </w:rPr>
        <w:t>The juvenile court and the progressives</w:t>
      </w:r>
      <w:r w:rsidRPr="00426962">
        <w:rPr>
          <w:rFonts w:ascii="Times New Roman" w:hAnsi="Times New Roman" w:cs="Times New Roman"/>
          <w:color w:val="222222"/>
          <w:sz w:val="24"/>
          <w:szCs w:val="24"/>
          <w:shd w:val="clear" w:color="auto" w:fill="FFFFFF"/>
        </w:rPr>
        <w:t>. University of Illinois Press.</w:t>
      </w:r>
    </w:p>
    <w:p w:rsidR="00426962" w:rsidRPr="00426962" w:rsidRDefault="00426962" w:rsidP="00505E77">
      <w:pPr>
        <w:spacing w:after="0"/>
        <w:ind w:left="720" w:hanging="720"/>
        <w:rPr>
          <w:rFonts w:ascii="Times New Roman" w:hAnsi="Times New Roman" w:cs="Times New Roman"/>
          <w:color w:val="222222"/>
          <w:sz w:val="24"/>
          <w:szCs w:val="24"/>
          <w:shd w:val="clear" w:color="auto" w:fill="FFFFFF"/>
        </w:rPr>
      </w:pPr>
      <w:r w:rsidRPr="00426962">
        <w:rPr>
          <w:rFonts w:ascii="Times New Roman" w:hAnsi="Times New Roman" w:cs="Times New Roman"/>
          <w:color w:val="222222"/>
          <w:sz w:val="24"/>
          <w:szCs w:val="24"/>
          <w:shd w:val="clear" w:color="auto" w:fill="FFFFFF"/>
        </w:rPr>
        <w:t xml:space="preserve">Myers, D. L. (2003). </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The recidivism of violent youths in juvenile and adult court: A consideration of selection bias.</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 </w:t>
      </w:r>
      <w:r w:rsidRPr="00426962">
        <w:rPr>
          <w:rFonts w:ascii="Times New Roman" w:hAnsi="Times New Roman" w:cs="Times New Roman"/>
          <w:i/>
          <w:iCs/>
          <w:color w:val="222222"/>
          <w:sz w:val="24"/>
          <w:szCs w:val="24"/>
          <w:shd w:val="clear" w:color="auto" w:fill="FFFFFF"/>
        </w:rPr>
        <w:t>Youth Violence and Juvenile Justice</w:t>
      </w:r>
      <w:r w:rsidR="00835111">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 </w:t>
      </w:r>
      <w:r w:rsidRPr="00835111">
        <w:rPr>
          <w:rFonts w:ascii="Times New Roman" w:hAnsi="Times New Roman" w:cs="Times New Roman"/>
          <w:iCs/>
          <w:color w:val="222222"/>
          <w:sz w:val="24"/>
          <w:szCs w:val="24"/>
          <w:shd w:val="clear" w:color="auto" w:fill="FFFFFF"/>
        </w:rPr>
        <w:t>1</w:t>
      </w:r>
      <w:r w:rsidR="00835111">
        <w:rPr>
          <w:rFonts w:ascii="Times New Roman" w:hAnsi="Times New Roman" w:cs="Times New Roman"/>
          <w:color w:val="222222"/>
          <w:sz w:val="24"/>
          <w:szCs w:val="24"/>
          <w:shd w:val="clear" w:color="auto" w:fill="FFFFFF"/>
        </w:rPr>
        <w:t>(1):</w:t>
      </w:r>
      <w:r w:rsidRPr="00426962">
        <w:rPr>
          <w:rFonts w:ascii="Times New Roman" w:hAnsi="Times New Roman" w:cs="Times New Roman"/>
          <w:color w:val="222222"/>
          <w:sz w:val="24"/>
          <w:szCs w:val="24"/>
          <w:shd w:val="clear" w:color="auto" w:fill="FFFFFF"/>
        </w:rPr>
        <w:t>79-101.</w:t>
      </w:r>
    </w:p>
    <w:p w:rsidR="00426962" w:rsidRPr="00426962" w:rsidRDefault="00426962" w:rsidP="00505E77">
      <w:pPr>
        <w:spacing w:after="0"/>
        <w:ind w:left="720" w:hanging="720"/>
        <w:rPr>
          <w:rFonts w:ascii="Times New Roman" w:hAnsi="Times New Roman" w:cs="Times New Roman"/>
          <w:color w:val="222222"/>
          <w:sz w:val="24"/>
          <w:szCs w:val="24"/>
          <w:shd w:val="clear" w:color="auto" w:fill="FFFFFF"/>
        </w:rPr>
      </w:pPr>
      <w:r w:rsidRPr="00426962">
        <w:rPr>
          <w:rFonts w:ascii="Times New Roman" w:hAnsi="Times New Roman" w:cs="Times New Roman"/>
          <w:color w:val="222222"/>
          <w:sz w:val="24"/>
          <w:szCs w:val="24"/>
          <w:shd w:val="clear" w:color="auto" w:fill="FFFFFF"/>
        </w:rPr>
        <w:t xml:space="preserve">Chen, S., Matruglio, T., Weatherburn, D., &amp; Hua, J. (2005). </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Transition from Juv</w:t>
      </w:r>
      <w:r>
        <w:rPr>
          <w:rFonts w:ascii="Times New Roman" w:hAnsi="Times New Roman" w:cs="Times New Roman"/>
          <w:color w:val="222222"/>
          <w:sz w:val="24"/>
          <w:szCs w:val="24"/>
          <w:shd w:val="clear" w:color="auto" w:fill="FFFFFF"/>
        </w:rPr>
        <w:t>enile to Adult Criminal Careers.”</w:t>
      </w:r>
      <w:r w:rsidRPr="00426962">
        <w:rPr>
          <w:rFonts w:ascii="Times New Roman" w:hAnsi="Times New Roman" w:cs="Times New Roman"/>
          <w:color w:val="222222"/>
          <w:sz w:val="24"/>
          <w:szCs w:val="24"/>
          <w:shd w:val="clear" w:color="auto" w:fill="FFFFFF"/>
        </w:rPr>
        <w:t xml:space="preserve"> </w:t>
      </w:r>
      <w:r>
        <w:rPr>
          <w:rFonts w:ascii="Times New Roman" w:hAnsi="Times New Roman" w:cs="Times New Roman"/>
          <w:i/>
          <w:color w:val="222222"/>
          <w:sz w:val="24"/>
          <w:szCs w:val="24"/>
          <w:shd w:val="clear" w:color="auto" w:fill="FFFFFF"/>
        </w:rPr>
        <w:t xml:space="preserve">The </w:t>
      </w:r>
      <w:r w:rsidRPr="00426962">
        <w:rPr>
          <w:rFonts w:ascii="Times New Roman" w:hAnsi="Times New Roman" w:cs="Times New Roman"/>
          <w:i/>
          <w:iCs/>
          <w:color w:val="222222"/>
          <w:sz w:val="24"/>
          <w:szCs w:val="24"/>
          <w:shd w:val="clear" w:color="auto" w:fill="FFFFFF"/>
        </w:rPr>
        <w:t>BOCSAR NSW Crime and Justice Bulletins</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 xml:space="preserve"> 12.</w:t>
      </w:r>
    </w:p>
    <w:p w:rsidR="00426962" w:rsidRPr="00426962" w:rsidRDefault="00426962" w:rsidP="00505E77">
      <w:pPr>
        <w:spacing w:after="0"/>
        <w:ind w:left="720" w:hanging="720"/>
        <w:rPr>
          <w:rFonts w:ascii="Times New Roman" w:hAnsi="Times New Roman" w:cs="Times New Roman"/>
          <w:sz w:val="24"/>
          <w:szCs w:val="24"/>
        </w:rPr>
      </w:pPr>
      <w:r w:rsidRPr="00426962">
        <w:rPr>
          <w:rFonts w:ascii="Times New Roman" w:hAnsi="Times New Roman" w:cs="Times New Roman"/>
          <w:color w:val="222222"/>
          <w:sz w:val="24"/>
          <w:szCs w:val="24"/>
          <w:shd w:val="clear" w:color="auto" w:fill="FFFFFF"/>
        </w:rPr>
        <w:t xml:space="preserve">Kuanliang, A., Sorensen, J. R., &amp; Cunningham, M. D. (2008). </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Juvenile inmates in an adult prison system: Rates of disciplinary misconduct and violence.</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 </w:t>
      </w:r>
      <w:r w:rsidRPr="00426962">
        <w:rPr>
          <w:rFonts w:ascii="Times New Roman" w:hAnsi="Times New Roman" w:cs="Times New Roman"/>
          <w:i/>
          <w:iCs/>
          <w:color w:val="222222"/>
          <w:sz w:val="24"/>
          <w:szCs w:val="24"/>
          <w:shd w:val="clear" w:color="auto" w:fill="FFFFFF"/>
        </w:rPr>
        <w:t>Criminal Justice and Behavior</w:t>
      </w:r>
      <w:r>
        <w:rPr>
          <w:rFonts w:ascii="Times New Roman" w:hAnsi="Times New Roman" w:cs="Times New Roman"/>
          <w:color w:val="222222"/>
          <w:sz w:val="24"/>
          <w:szCs w:val="24"/>
          <w:shd w:val="clear" w:color="auto" w:fill="FFFFFF"/>
        </w:rPr>
        <w:t>.</w:t>
      </w:r>
      <w:r w:rsidRPr="00426962">
        <w:rPr>
          <w:rFonts w:ascii="Times New Roman" w:hAnsi="Times New Roman" w:cs="Times New Roman"/>
          <w:color w:val="222222"/>
          <w:sz w:val="24"/>
          <w:szCs w:val="24"/>
          <w:shd w:val="clear" w:color="auto" w:fill="FFFFFF"/>
        </w:rPr>
        <w:t> </w:t>
      </w:r>
      <w:r w:rsidRPr="00426962">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(9):</w:t>
      </w:r>
      <w:r w:rsidRPr="00426962">
        <w:rPr>
          <w:rFonts w:ascii="Times New Roman" w:hAnsi="Times New Roman" w:cs="Times New Roman"/>
          <w:color w:val="222222"/>
          <w:sz w:val="24"/>
          <w:szCs w:val="24"/>
          <w:shd w:val="clear" w:color="auto" w:fill="FFFFFF"/>
        </w:rPr>
        <w:t>1186-1201.</w:t>
      </w:r>
    </w:p>
    <w:sectPr w:rsidR="00426962" w:rsidRPr="00426962" w:rsidSect="007E50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961" w:rsidRDefault="00EE1961" w:rsidP="007E50B2">
      <w:pPr>
        <w:spacing w:after="0" w:line="240" w:lineRule="auto"/>
      </w:pPr>
      <w:r>
        <w:separator/>
      </w:r>
    </w:p>
  </w:endnote>
  <w:endnote w:type="continuationSeparator" w:id="0">
    <w:p w:rsidR="00EE1961" w:rsidRDefault="00EE1961" w:rsidP="007E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961" w:rsidRDefault="00EE1961" w:rsidP="007E50B2">
      <w:pPr>
        <w:spacing w:after="0" w:line="240" w:lineRule="auto"/>
      </w:pPr>
      <w:r>
        <w:separator/>
      </w:r>
    </w:p>
  </w:footnote>
  <w:footnote w:type="continuationSeparator" w:id="0">
    <w:p w:rsidR="00EE1961" w:rsidRDefault="00EE1961" w:rsidP="007E5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0B2" w:rsidRPr="007E50B2" w:rsidRDefault="007E50B2" w:rsidP="007E50B2">
    <w:pPr>
      <w:pStyle w:val="Header"/>
      <w:ind w:firstLine="0"/>
      <w:rPr>
        <w:rFonts w:ascii="Times New Roman" w:hAnsi="Times New Roman" w:cs="Times New Roman"/>
        <w:sz w:val="24"/>
        <w:szCs w:val="24"/>
      </w:rPr>
    </w:pPr>
    <w:r w:rsidRPr="007E50B2">
      <w:rPr>
        <w:rFonts w:ascii="Times New Roman" w:hAnsi="Times New Roman" w:cs="Times New Roman"/>
        <w:sz w:val="24"/>
        <w:szCs w:val="24"/>
      </w:rPr>
      <w:t>CRIMINAL COURTS</w:t>
    </w:r>
    <w:r w:rsidRPr="007E50B2">
      <w:rPr>
        <w:rFonts w:ascii="Times New Roman" w:hAnsi="Times New Roman" w:cs="Times New Roman"/>
        <w:sz w:val="24"/>
        <w:szCs w:val="24"/>
      </w:rPr>
      <w:tab/>
    </w:r>
    <w:r w:rsidRPr="007E50B2">
      <w:rPr>
        <w:rFonts w:ascii="Times New Roman" w:hAnsi="Times New Roman" w:cs="Times New Roman"/>
        <w:sz w:val="24"/>
        <w:szCs w:val="24"/>
      </w:rPr>
      <w:tab/>
    </w:r>
    <w:r w:rsidRPr="007E50B2">
      <w:rPr>
        <w:rFonts w:ascii="Times New Roman" w:hAnsi="Times New Roman" w:cs="Times New Roman"/>
        <w:sz w:val="24"/>
        <w:szCs w:val="24"/>
      </w:rPr>
      <w:fldChar w:fldCharType="begin"/>
    </w:r>
    <w:r w:rsidRPr="007E50B2">
      <w:rPr>
        <w:rFonts w:ascii="Times New Roman" w:hAnsi="Times New Roman" w:cs="Times New Roman"/>
        <w:sz w:val="24"/>
        <w:szCs w:val="24"/>
      </w:rPr>
      <w:instrText xml:space="preserve"> PAGE   \* MERGEFORMAT </w:instrText>
    </w:r>
    <w:r w:rsidRPr="007E50B2">
      <w:rPr>
        <w:rFonts w:ascii="Times New Roman" w:hAnsi="Times New Roman" w:cs="Times New Roman"/>
        <w:sz w:val="24"/>
        <w:szCs w:val="24"/>
      </w:rPr>
      <w:fldChar w:fldCharType="separate"/>
    </w:r>
    <w:r w:rsidR="00332AD9">
      <w:rPr>
        <w:rFonts w:ascii="Times New Roman" w:hAnsi="Times New Roman" w:cs="Times New Roman"/>
        <w:noProof/>
        <w:sz w:val="24"/>
        <w:szCs w:val="24"/>
      </w:rPr>
      <w:t>7</w:t>
    </w:r>
    <w:r w:rsidRPr="007E50B2">
      <w:rPr>
        <w:rFonts w:ascii="Times New Roman" w:hAnsi="Times New Roman" w:cs="Times New Roman"/>
        <w:noProof/>
        <w:sz w:val="24"/>
        <w:szCs w:val="24"/>
      </w:rPr>
      <w:fldChar w:fldCharType="end"/>
    </w:r>
  </w:p>
  <w:p w:rsidR="007E50B2" w:rsidRDefault="007E5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0B2" w:rsidRPr="007E50B2" w:rsidRDefault="007E50B2" w:rsidP="007E50B2">
    <w:pPr>
      <w:pStyle w:val="Header"/>
      <w:ind w:firstLine="0"/>
      <w:rPr>
        <w:rFonts w:ascii="Times New Roman" w:hAnsi="Times New Roman" w:cs="Times New Roman"/>
        <w:sz w:val="24"/>
        <w:szCs w:val="24"/>
      </w:rPr>
    </w:pPr>
    <w:r w:rsidRPr="007E50B2">
      <w:rPr>
        <w:rFonts w:ascii="Times New Roman" w:hAnsi="Times New Roman" w:cs="Times New Roman"/>
        <w:sz w:val="24"/>
        <w:szCs w:val="24"/>
      </w:rPr>
      <w:t>Running head: CRIMINAL COURTS</w:t>
    </w:r>
    <w:r w:rsidRPr="007E50B2">
      <w:rPr>
        <w:rFonts w:ascii="Times New Roman" w:hAnsi="Times New Roman" w:cs="Times New Roman"/>
        <w:sz w:val="24"/>
        <w:szCs w:val="24"/>
      </w:rPr>
      <w:tab/>
    </w:r>
    <w:r w:rsidRPr="007E50B2">
      <w:rPr>
        <w:rFonts w:ascii="Times New Roman" w:hAnsi="Times New Roman" w:cs="Times New Roman"/>
        <w:sz w:val="24"/>
        <w:szCs w:val="24"/>
      </w:rPr>
      <w:tab/>
    </w:r>
    <w:r w:rsidRPr="007E50B2">
      <w:rPr>
        <w:rFonts w:ascii="Times New Roman" w:hAnsi="Times New Roman" w:cs="Times New Roman"/>
        <w:sz w:val="24"/>
        <w:szCs w:val="24"/>
      </w:rPr>
      <w:fldChar w:fldCharType="begin"/>
    </w:r>
    <w:r w:rsidRPr="007E50B2">
      <w:rPr>
        <w:rFonts w:ascii="Times New Roman" w:hAnsi="Times New Roman" w:cs="Times New Roman"/>
        <w:sz w:val="24"/>
        <w:szCs w:val="24"/>
      </w:rPr>
      <w:instrText xml:space="preserve"> PAGE   \* MERGEFORMAT </w:instrText>
    </w:r>
    <w:r w:rsidRPr="007E50B2">
      <w:rPr>
        <w:rFonts w:ascii="Times New Roman" w:hAnsi="Times New Roman" w:cs="Times New Roman"/>
        <w:sz w:val="24"/>
        <w:szCs w:val="24"/>
      </w:rPr>
      <w:fldChar w:fldCharType="separate"/>
    </w:r>
    <w:r w:rsidR="00332AD9">
      <w:rPr>
        <w:rFonts w:ascii="Times New Roman" w:hAnsi="Times New Roman" w:cs="Times New Roman"/>
        <w:noProof/>
        <w:sz w:val="24"/>
        <w:szCs w:val="24"/>
      </w:rPr>
      <w:t>1</w:t>
    </w:r>
    <w:r w:rsidRPr="007E50B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28F"/>
    <w:rsid w:val="00036CEE"/>
    <w:rsid w:val="000613B8"/>
    <w:rsid w:val="00125324"/>
    <w:rsid w:val="001402A0"/>
    <w:rsid w:val="001F6383"/>
    <w:rsid w:val="00220D2E"/>
    <w:rsid w:val="002E37BD"/>
    <w:rsid w:val="00332AD9"/>
    <w:rsid w:val="003F404F"/>
    <w:rsid w:val="00426962"/>
    <w:rsid w:val="00505E77"/>
    <w:rsid w:val="005172EB"/>
    <w:rsid w:val="005C5628"/>
    <w:rsid w:val="00625C8B"/>
    <w:rsid w:val="00657AA8"/>
    <w:rsid w:val="006A3A97"/>
    <w:rsid w:val="00706DB1"/>
    <w:rsid w:val="0073440D"/>
    <w:rsid w:val="00782127"/>
    <w:rsid w:val="00785751"/>
    <w:rsid w:val="007876AB"/>
    <w:rsid w:val="007B118D"/>
    <w:rsid w:val="007E50B2"/>
    <w:rsid w:val="00835111"/>
    <w:rsid w:val="00845BCC"/>
    <w:rsid w:val="0091474B"/>
    <w:rsid w:val="009B2638"/>
    <w:rsid w:val="00AE21F2"/>
    <w:rsid w:val="00AF6AA1"/>
    <w:rsid w:val="00AF7267"/>
    <w:rsid w:val="00B96740"/>
    <w:rsid w:val="00B97507"/>
    <w:rsid w:val="00E36861"/>
    <w:rsid w:val="00E92009"/>
    <w:rsid w:val="00EC728F"/>
    <w:rsid w:val="00EE1961"/>
    <w:rsid w:val="00EF5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3BC63"/>
  <w15:chartTrackingRefBased/>
  <w15:docId w15:val="{0B114D9C-1741-452C-944B-2A0A6E65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B2"/>
  </w:style>
  <w:style w:type="paragraph" w:styleId="Footer">
    <w:name w:val="footer"/>
    <w:basedOn w:val="Normal"/>
    <w:link w:val="FooterChar"/>
    <w:uiPriority w:val="99"/>
    <w:unhideWhenUsed/>
    <w:rsid w:val="007E5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8</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Mwaura</dc:creator>
  <cp:keywords/>
  <dc:description/>
  <cp:lastModifiedBy>Douglas Mwaura</cp:lastModifiedBy>
  <cp:revision>16</cp:revision>
  <dcterms:created xsi:type="dcterms:W3CDTF">2020-07-20T08:34:00Z</dcterms:created>
  <dcterms:modified xsi:type="dcterms:W3CDTF">2020-07-20T12:17:00Z</dcterms:modified>
</cp:coreProperties>
</file>